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21"/>
      </w:tblGrid>
      <w:tr w:rsidR="00B42D38" w:rsidRPr="00477A63" w:rsidTr="00DC0498">
        <w:trPr>
          <w:trHeight w:val="4789"/>
          <w:tblCellSpacing w:w="0" w:type="dxa"/>
        </w:trPr>
        <w:tc>
          <w:tcPr>
            <w:tcW w:w="0" w:type="auto"/>
            <w:vAlign w:val="center"/>
            <w:hideMark/>
          </w:tcPr>
          <w:p w:rsidR="00B42D38" w:rsidRPr="00477A63" w:rsidRDefault="00B42D38" w:rsidP="00B42D38">
            <w:pPr>
              <w:spacing w:line="700" w:lineRule="exact"/>
              <w:rPr>
                <w:rFonts w:ascii="华文新魏" w:eastAsia="华文新魏" w:hAnsi="华文仿宋" w:cs="Times New Roman" w:hint="eastAsia"/>
                <w:color w:val="FF0000"/>
                <w:spacing w:val="80"/>
                <w:sz w:val="112"/>
                <w:szCs w:val="112"/>
              </w:rPr>
            </w:pPr>
          </w:p>
          <w:p w:rsidR="00B42D38" w:rsidRPr="00477A63" w:rsidRDefault="00B42D38" w:rsidP="001F24F3">
            <w:pPr>
              <w:spacing w:beforeLines="100" w:afterLines="100" w:line="1500" w:lineRule="exact"/>
              <w:jc w:val="center"/>
              <w:rPr>
                <w:rFonts w:ascii="华文新魏" w:eastAsia="华文新魏" w:hAnsi="华文中宋" w:cs="Times New Roman"/>
                <w:b/>
                <w:bCs/>
                <w:color w:val="FF0000"/>
                <w:sz w:val="140"/>
                <w:szCs w:val="120"/>
              </w:rPr>
            </w:pP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sz w:val="140"/>
                <w:szCs w:val="120"/>
              </w:rPr>
              <w:t>信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w w:val="66"/>
                <w:sz w:val="140"/>
                <w:szCs w:val="120"/>
              </w:rPr>
              <w:t xml:space="preserve"> 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sz w:val="140"/>
                <w:szCs w:val="120"/>
              </w:rPr>
              <w:t>息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w w:val="66"/>
                <w:sz w:val="140"/>
                <w:szCs w:val="120"/>
              </w:rPr>
              <w:t xml:space="preserve"> 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sz w:val="140"/>
                <w:szCs w:val="120"/>
              </w:rPr>
              <w:t>参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w w:val="66"/>
                <w:sz w:val="140"/>
                <w:szCs w:val="120"/>
              </w:rPr>
              <w:t xml:space="preserve"> </w:t>
            </w:r>
            <w:r w:rsidRPr="00477A63">
              <w:rPr>
                <w:rFonts w:ascii="华文新魏" w:eastAsia="华文新魏" w:hAnsi="华文中宋" w:cs="Times New Roman" w:hint="eastAsia"/>
                <w:b/>
                <w:bCs/>
                <w:color w:val="FF0000"/>
                <w:sz w:val="140"/>
                <w:szCs w:val="120"/>
              </w:rPr>
              <w:t>阅</w:t>
            </w:r>
          </w:p>
          <w:p w:rsidR="00B42D38" w:rsidRPr="00477A63" w:rsidRDefault="00B42D38" w:rsidP="00DC0498">
            <w:pPr>
              <w:tabs>
                <w:tab w:val="center" w:pos="4156"/>
                <w:tab w:val="left" w:pos="5610"/>
              </w:tabs>
              <w:spacing w:line="520" w:lineRule="exact"/>
              <w:jc w:val="center"/>
              <w:rPr>
                <w:rFonts w:ascii="楷体_GB2312" w:eastAsia="楷体_GB2312" w:hAnsi="华文中宋" w:cs="Times New Roman"/>
                <w:b/>
                <w:sz w:val="32"/>
                <w:szCs w:val="32"/>
              </w:rPr>
            </w:pPr>
            <w:r w:rsidRPr="00477A63">
              <w:rPr>
                <w:rFonts w:ascii="楷体_GB2312" w:eastAsia="楷体_GB2312" w:hAnsi="华文中宋" w:cs="Times New Roman" w:hint="eastAsia"/>
                <w:b/>
                <w:sz w:val="32"/>
                <w:szCs w:val="32"/>
              </w:rPr>
              <w:t>第</w:t>
            </w:r>
            <w:r w:rsidR="001F24F3">
              <w:rPr>
                <w:rFonts w:ascii="楷体_GB2312" w:eastAsia="楷体_GB2312" w:hAnsi="华文中宋" w:cs="Times New Roman" w:hint="eastAsia"/>
                <w:b/>
                <w:sz w:val="32"/>
                <w:szCs w:val="32"/>
              </w:rPr>
              <w:t>1</w:t>
            </w:r>
            <w:r w:rsidRPr="00477A63">
              <w:rPr>
                <w:rFonts w:ascii="楷体_GB2312" w:eastAsia="楷体_GB2312" w:hAnsi="华文中宋" w:cs="Times New Roman" w:hint="eastAsia"/>
                <w:b/>
                <w:sz w:val="32"/>
                <w:szCs w:val="32"/>
              </w:rPr>
              <w:t>期</w:t>
            </w:r>
          </w:p>
          <w:p w:rsidR="00B42D38" w:rsidRPr="00477A63" w:rsidRDefault="00B42D38" w:rsidP="001F24F3">
            <w:pPr>
              <w:tabs>
                <w:tab w:val="center" w:pos="4156"/>
                <w:tab w:val="left" w:pos="5610"/>
              </w:tabs>
              <w:spacing w:line="520" w:lineRule="exact"/>
              <w:ind w:firstLineChars="49" w:firstLine="138"/>
              <w:rPr>
                <w:rFonts w:ascii="华文中宋" w:eastAsia="华文中宋" w:hAnsi="华文中宋" w:cs="Times New Roman"/>
                <w:b/>
                <w:sz w:val="28"/>
                <w:szCs w:val="32"/>
              </w:rPr>
            </w:pPr>
            <w:r w:rsidRPr="00477A6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 xml:space="preserve"> </w:t>
            </w:r>
            <w:r w:rsidRPr="001F24F3">
              <w:rPr>
                <w:rFonts w:ascii="Times New Roman" w:eastAsia="宋体" w:hAnsi="Times New Roman" w:cs="Times New Roman" w:hint="eastAsia"/>
                <w:b/>
                <w:w w:val="70"/>
                <w:kern w:val="0"/>
                <w:sz w:val="28"/>
                <w:szCs w:val="27"/>
              </w:rPr>
              <w:t>西北大学</w:t>
            </w:r>
            <w:r w:rsidR="001F24F3" w:rsidRPr="001F24F3">
              <w:rPr>
                <w:rFonts w:ascii="Times New Roman" w:eastAsia="宋体" w:hAnsi="Times New Roman" w:cs="Times New Roman" w:hint="eastAsia"/>
                <w:b/>
                <w:w w:val="70"/>
                <w:kern w:val="0"/>
                <w:sz w:val="28"/>
                <w:szCs w:val="27"/>
              </w:rPr>
              <w:t>党委办</w:t>
            </w:r>
            <w:r w:rsidRPr="001F24F3">
              <w:rPr>
                <w:rFonts w:ascii="Times New Roman" w:eastAsia="宋体" w:hAnsi="Times New Roman" w:cs="Times New Roman" w:hint="eastAsia"/>
                <w:b/>
                <w:w w:val="70"/>
                <w:kern w:val="0"/>
                <w:sz w:val="28"/>
                <w:szCs w:val="27"/>
              </w:rPr>
              <w:t>公室</w:t>
            </w:r>
            <w:r w:rsidR="001F24F3" w:rsidRPr="001F24F3">
              <w:rPr>
                <w:rFonts w:ascii="Times New Roman" w:eastAsia="宋体" w:hAnsi="Times New Roman" w:cs="Times New Roman" w:hint="eastAsia"/>
                <w:b/>
                <w:w w:val="70"/>
                <w:kern w:val="0"/>
                <w:sz w:val="28"/>
                <w:szCs w:val="27"/>
              </w:rPr>
              <w:t>、校长办公室</w:t>
            </w:r>
            <w:r w:rsidR="001F24F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 xml:space="preserve">                 </w:t>
            </w:r>
            <w:r w:rsidRPr="00477A63">
              <w:rPr>
                <w:rFonts w:ascii="Times New Roman" w:eastAsia="宋体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477A63">
              <w:rPr>
                <w:rFonts w:ascii="Times New Roman" w:eastAsia="宋体" w:hAnsi="Times New Roman" w:cs="Times New Roman"/>
                <w:b/>
                <w:sz w:val="28"/>
                <w:szCs w:val="27"/>
              </w:rPr>
              <w:t>20</w:t>
            </w:r>
            <w:r w:rsidRPr="00477A6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>1</w:t>
            </w:r>
            <w:r w:rsidR="001F24F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>7</w:t>
            </w:r>
            <w:r w:rsidRPr="00477A6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>年</w:t>
            </w:r>
            <w:r w:rsidR="00A01A7F">
              <w:rPr>
                <w:rFonts w:ascii="Times New Roman" w:hAnsi="Times New Roman" w:hint="eastAsia"/>
                <w:b/>
                <w:sz w:val="28"/>
                <w:szCs w:val="27"/>
              </w:rPr>
              <w:t>3</w:t>
            </w:r>
            <w:r w:rsidRPr="00477A6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>月</w:t>
            </w:r>
            <w:r w:rsidR="001F24F3">
              <w:rPr>
                <w:rFonts w:ascii="Times New Roman" w:hAnsi="Times New Roman" w:hint="eastAsia"/>
                <w:b/>
                <w:sz w:val="28"/>
                <w:szCs w:val="27"/>
              </w:rPr>
              <w:t>9</w:t>
            </w:r>
            <w:r w:rsidRPr="00477A63">
              <w:rPr>
                <w:rFonts w:ascii="Times New Roman" w:eastAsia="宋体" w:hAnsi="Times New Roman" w:cs="Times New Roman" w:hint="eastAsia"/>
                <w:b/>
                <w:sz w:val="28"/>
                <w:szCs w:val="27"/>
              </w:rPr>
              <w:t>日</w:t>
            </w:r>
          </w:p>
          <w:p w:rsidR="00B42D38" w:rsidRPr="00477A63" w:rsidRDefault="00B42D38" w:rsidP="00DC0498">
            <w:pPr>
              <w:spacing w:line="160" w:lineRule="exact"/>
              <w:rPr>
                <w:rFonts w:ascii="Times New Roman" w:eastAsia="宋体" w:hAnsi="Times New Roman" w:cs="Times New Roman"/>
                <w:b/>
                <w:bCs/>
                <w:color w:val="FF0000"/>
                <w:sz w:val="27"/>
                <w:szCs w:val="27"/>
                <w:u w:val="single"/>
              </w:rPr>
            </w:pPr>
            <w:r w:rsidRPr="00477A63">
              <w:rPr>
                <w:rFonts w:ascii="Times New Roman" w:eastAsia="宋体" w:hAnsi="Times New Roman" w:cs="Times New Roman"/>
                <w:b/>
                <w:bCs/>
                <w:color w:val="FF0000"/>
                <w:sz w:val="27"/>
                <w:szCs w:val="27"/>
                <w:u w:val="single"/>
              </w:rPr>
              <w:t xml:space="preserve">                                                        </w:t>
            </w:r>
            <w:r w:rsidRPr="00477A63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7"/>
                <w:szCs w:val="27"/>
                <w:u w:val="single"/>
              </w:rPr>
              <w:t xml:space="preserve">   </w:t>
            </w:r>
            <w:r w:rsidRPr="00477A63">
              <w:rPr>
                <w:rFonts w:ascii="Times New Roman" w:eastAsia="宋体" w:hAnsi="Times New Roman" w:cs="Times New Roman"/>
                <w:b/>
                <w:bCs/>
                <w:color w:val="FF0000"/>
                <w:sz w:val="27"/>
                <w:szCs w:val="27"/>
                <w:u w:val="single"/>
              </w:rPr>
              <w:t xml:space="preserve">     </w:t>
            </w:r>
          </w:p>
          <w:p w:rsidR="00B42D38" w:rsidRPr="00477A63" w:rsidRDefault="00B42D38" w:rsidP="00DC0498">
            <w:pPr>
              <w:widowControl/>
              <w:tabs>
                <w:tab w:val="left" w:pos="2100"/>
              </w:tabs>
              <w:spacing w:line="20" w:lineRule="exact"/>
              <w:jc w:val="center"/>
              <w:rPr>
                <w:rFonts w:ascii="黑体" w:eastAsia="黑体" w:hAnsi="黑体" w:cs="Arial"/>
                <w:color w:val="587C19"/>
                <w:kern w:val="0"/>
                <w:sz w:val="44"/>
                <w:szCs w:val="44"/>
              </w:rPr>
            </w:pPr>
          </w:p>
        </w:tc>
      </w:tr>
    </w:tbl>
    <w:p w:rsidR="0071339E" w:rsidRDefault="0071339E" w:rsidP="0071339E">
      <w:pPr>
        <w:spacing w:line="560" w:lineRule="exact"/>
        <w:ind w:firstLineChars="200" w:firstLine="602"/>
        <w:rPr>
          <w:rFonts w:ascii="楷体_GB2312" w:eastAsia="楷体_GB2312" w:cs="黑体"/>
          <w:color w:val="000000"/>
          <w:kern w:val="0"/>
          <w:sz w:val="30"/>
          <w:szCs w:val="30"/>
        </w:rPr>
      </w:pPr>
      <w:r>
        <w:rPr>
          <w:rFonts w:ascii="黑体" w:eastAsia="黑体" w:hAnsi="宋体" w:cs="Arial" w:hint="eastAsia"/>
          <w:b/>
          <w:kern w:val="0"/>
          <w:sz w:val="30"/>
          <w:szCs w:val="30"/>
        </w:rPr>
        <w:t>【编者按】</w:t>
      </w:r>
      <w:r>
        <w:rPr>
          <w:rFonts w:ascii="楷体_GB2312" w:eastAsia="楷体_GB2312" w:cs="黑体" w:hint="eastAsia"/>
          <w:color w:val="000000"/>
          <w:kern w:val="0"/>
          <w:sz w:val="30"/>
          <w:szCs w:val="30"/>
        </w:rPr>
        <w:t>近日，教育部等部委联合出台《统筹推进世界一流大学和一流学科建设实施办法（暂行）》，为各地区、行业主管部门和高校的具体执行与实施，提供了明确指引。上海市教育委员会苏明针对如何办好中国特色社会主义高校，推进“双一流”建设进行思考，并在中国教育报发文《办好中国特色社会主义高校 着力推进“双一流”建设》。现将该文转载如下，谨供各位领导参阅。</w:t>
      </w:r>
    </w:p>
    <w:p w:rsidR="0071339E" w:rsidRDefault="0071339E" w:rsidP="0071339E">
      <w:pPr>
        <w:spacing w:line="560" w:lineRule="exact"/>
        <w:ind w:firstLineChars="200" w:firstLine="720"/>
        <w:rPr>
          <w:rFonts w:ascii="方正小标宋简体" w:eastAsia="方正小标宋简体" w:cs="黑体"/>
          <w:color w:val="000000"/>
          <w:kern w:val="0"/>
          <w:sz w:val="36"/>
          <w:szCs w:val="36"/>
        </w:rPr>
      </w:pPr>
    </w:p>
    <w:p w:rsidR="0071339E" w:rsidRDefault="0071339E" w:rsidP="0071339E">
      <w:pPr>
        <w:jc w:val="center"/>
        <w:rPr>
          <w:rFonts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黑体" w:hint="eastAsia"/>
          <w:color w:val="000000"/>
          <w:kern w:val="0"/>
          <w:sz w:val="36"/>
          <w:szCs w:val="36"/>
        </w:rPr>
        <w:t xml:space="preserve">办好中国特色社会主义高校 </w:t>
      </w:r>
      <w:bookmarkStart w:id="0" w:name="_GoBack"/>
      <w:r>
        <w:rPr>
          <w:rFonts w:ascii="方正小标宋简体" w:eastAsia="方正小标宋简体" w:cs="黑体" w:hint="eastAsia"/>
          <w:color w:val="000000"/>
          <w:kern w:val="0"/>
          <w:sz w:val="36"/>
          <w:szCs w:val="36"/>
        </w:rPr>
        <w:t>着力推进“双一流”建设</w:t>
      </w:r>
      <w:bookmarkEnd w:id="0"/>
    </w:p>
    <w:p w:rsidR="0071339E" w:rsidRDefault="0071339E" w:rsidP="0071339E">
      <w:pPr>
        <w:jc w:val="center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28"/>
          <w:szCs w:val="28"/>
        </w:rPr>
        <w:t>（</w:t>
      </w:r>
      <w:r w:rsidR="001F24F3">
        <w:rPr>
          <w:rFonts w:ascii="楷体_GB2312" w:eastAsia="楷体_GB2312" w:hAnsi="Calibri" w:cs="Times New Roman" w:hint="eastAsia"/>
          <w:sz w:val="28"/>
          <w:szCs w:val="28"/>
        </w:rPr>
        <w:t xml:space="preserve">时间：2017年1月26日  </w:t>
      </w:r>
      <w:r>
        <w:rPr>
          <w:rFonts w:ascii="楷体_GB2312" w:eastAsia="楷体_GB2312" w:hAnsi="Calibri" w:cs="Times New Roman" w:hint="eastAsia"/>
          <w:sz w:val="28"/>
          <w:szCs w:val="28"/>
        </w:rPr>
        <w:t xml:space="preserve">来源：中国教育报） </w:t>
      </w:r>
    </w:p>
    <w:p w:rsidR="0071339E" w:rsidRDefault="0071339E" w:rsidP="0071339E">
      <w:pPr>
        <w:spacing w:line="560" w:lineRule="exact"/>
        <w:jc w:val="center"/>
        <w:rPr>
          <w:rFonts w:ascii="黑体" w:eastAsia="黑体" w:cs="黑体"/>
          <w:color w:val="000000"/>
          <w:kern w:val="0"/>
          <w:sz w:val="30"/>
          <w:szCs w:val="30"/>
        </w:rPr>
      </w:pPr>
    </w:p>
    <w:p w:rsidR="0071339E" w:rsidRDefault="0071339E" w:rsidP="0071339E">
      <w:pPr>
        <w:spacing w:line="560" w:lineRule="exact"/>
        <w:ind w:firstLine="600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>上海按照党中央和国务院总体部署，率先对接，初步构建了区域落实“双一流”战略的实施框架。</w:t>
      </w:r>
    </w:p>
    <w:p w:rsidR="0071339E" w:rsidRDefault="0071339E" w:rsidP="0071339E">
      <w:pPr>
        <w:spacing w:line="560" w:lineRule="exact"/>
        <w:ind w:firstLine="600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 w:rsidRPr="00063559">
        <w:rPr>
          <w:rFonts w:ascii="黑体" w:eastAsia="黑体" w:cs="黑体" w:hint="eastAsia"/>
          <w:bCs/>
          <w:color w:val="000000"/>
          <w:kern w:val="0"/>
          <w:sz w:val="30"/>
          <w:szCs w:val="30"/>
        </w:rPr>
        <w:t>第一，以二维分类体系构建上海高等教育分类发展总体格局。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>2015年，上海发布《上海高等教育布局结构与发展规划（2015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lastRenderedPageBreak/>
        <w:t>—2030年）》，建立高校二维分类规划目标，横向以学科门类的集中度为依据，分为综合性、多科性、特色性3类；纵向以人才培养主体功能为标准，分为学术研究型、应用研究型、应用技术型、应用技能型等4类，形成“3×4”宫格分类发展框架制度。</w:t>
      </w:r>
    </w:p>
    <w:p w:rsidR="0071339E" w:rsidRDefault="0071339E" w:rsidP="0071339E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>
        <w:rPr>
          <w:rFonts w:ascii="仿宋_GB2312" w:eastAsia="仿宋_GB2312" w:cs="黑体" w:hint="eastAsia"/>
          <w:b/>
          <w:bCs/>
          <w:color w:val="000000"/>
          <w:kern w:val="0"/>
          <w:sz w:val="30"/>
          <w:szCs w:val="30"/>
        </w:rPr>
        <w:t xml:space="preserve">  </w:t>
      </w:r>
      <w:r w:rsidRPr="00063559">
        <w:rPr>
          <w:rFonts w:ascii="黑体" w:eastAsia="黑体" w:cs="黑体" w:hint="eastAsia"/>
          <w:bCs/>
          <w:color w:val="000000"/>
          <w:kern w:val="0"/>
          <w:sz w:val="30"/>
          <w:szCs w:val="30"/>
        </w:rPr>
        <w:t xml:space="preserve"> 第二，以“高峰”“高原”学科建设计划加快建设一流学科点。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>经过充分的摸底调研与分析，上海于2014年出台《上海高等学校学科发展与优化布局规划（2014—2020年）》，同步启动“高峰”“高原”学科建设计划，将“高峰”学科分为4类、“高原”学科分为两类实施重点建设。一方面，“强枝干、厚基础”，建设特色鲜明、贡献突出的“高原”学科群；另一方面，“强优补缺”，优化学科布局结构，凝练学科发展方向，推动“高原”上崛起“高峰”，依托“高峰”学科集聚高层次人才，加强国际合作，打造一流的国际联合实验室。“高峰”学科瞄准世界一流，“高原”学科着眼国内一流。</w:t>
      </w:r>
    </w:p>
    <w:p w:rsidR="0071339E" w:rsidRDefault="0071339E" w:rsidP="0071339E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 w:rsidRPr="00063559">
        <w:rPr>
          <w:rFonts w:ascii="黑体" w:eastAsia="黑体" w:cs="黑体" w:hint="eastAsia"/>
          <w:bCs/>
          <w:color w:val="000000"/>
          <w:kern w:val="0"/>
          <w:sz w:val="30"/>
          <w:szCs w:val="30"/>
        </w:rPr>
        <w:t xml:space="preserve">   第三，以部市共建驻沪部属高校和实施高水平地方高校建设计划“双轮”驱动一流大学建设。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>一方面，开展新一轮部市合作共建，支持驻沪部属高校改革发展。驻沪8所部属高校是上海高等教育的标兵和品牌，上海也始终对驻沪部属高校改革发展给予坚定支持，部市通过三期“985工程”和“211工程”共建，已经建立共同支持驻沪部属高校的相应机制。我们将与教育部加强沟通，继续支持驻沪部属高校开展“双一流”建设，引导其牢固坚持社会主义办学方向，更好地为社会主义现代化建设服务，为上海的改革发展服务。另一方面，实施上海高水平地方高校建设计划，推动市属高校争创一流。提升上海高等教育整体质量，根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lastRenderedPageBreak/>
        <w:t>本靠加快发展市属高校。为此，上海于2016年初启动了高水平地方高校建设计划，在前期上海科技大学建设基础上，分批重点建设若干所市属高校，上海大学作为首批高校纳入建设，并按照“一校一策”方式，给予较大力度的投入和支持。</w:t>
      </w:r>
    </w:p>
    <w:p w:rsidR="0071339E" w:rsidRDefault="0071339E" w:rsidP="0071339E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>
        <w:rPr>
          <w:rFonts w:ascii="仿宋_GB2312" w:eastAsia="仿宋_GB2312" w:cs="黑体" w:hint="eastAsia"/>
          <w:b/>
          <w:bCs/>
          <w:color w:val="000000"/>
          <w:kern w:val="0"/>
          <w:sz w:val="30"/>
          <w:szCs w:val="30"/>
        </w:rPr>
        <w:t xml:space="preserve">   </w:t>
      </w:r>
      <w:r w:rsidRPr="00063559">
        <w:rPr>
          <w:rFonts w:ascii="黑体" w:eastAsia="黑体" w:cs="黑体" w:hint="eastAsia"/>
          <w:b/>
          <w:bCs/>
          <w:color w:val="000000"/>
          <w:kern w:val="0"/>
          <w:sz w:val="30"/>
          <w:szCs w:val="30"/>
        </w:rPr>
        <w:t xml:space="preserve"> 第四，以先行先试、简政放权和放管结合构建“双一流”建设保障机制。</w:t>
      </w: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>一是把“双一流”建设纳入上海教育综合改革试点范围，积极先行先试。2014年，上海与北大、清华“一市两校”率先实施了教育综合改革国家试点，通过3年实践，已经在部市之间和上海市各部门之间，形成了教育综合改革先行先试的共识与合力。二是把扩大和落实高校办学自主权作为重要外部保障，主动简政放权。加快对高校放权、为人才松绑，这是建设“双一流”的重要前提。三是把健全中国特色现代大学制度作为关键支撑，落实放管结合。在放权的同时，我们也注重引导高校加快建立现代大学制度，用好自主权并承担相应责任。特别是引导高校在牢固坚持党委领导下的校长负责制前提下，着力完善“四大内控机制”，即完善重大决策内控机制，确保“三重一大”事项全部纳入领导班子集体决策范围；完善财经管理内控机制，从内控管理上防范财务风险；完善人才培养质量内控机制，落实立校之本；完善队伍建设内控机制，健全职称评审和人才引进标准体系，加强对教师绩效考核管理等。</w:t>
      </w:r>
    </w:p>
    <w:p w:rsidR="0071339E" w:rsidRDefault="0071339E" w:rsidP="0071339E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>
        <w:rPr>
          <w:rFonts w:ascii="仿宋_GB2312" w:eastAsia="仿宋_GB2312" w:cs="黑体" w:hint="eastAsia"/>
          <w:color w:val="000000"/>
          <w:kern w:val="0"/>
          <w:sz w:val="30"/>
          <w:szCs w:val="30"/>
        </w:rPr>
        <w:t xml:space="preserve">    上海将立足国情市情，扎实推进落实，努力办好中国特色社会主义大学，为国家“双一流”战略作出应有贡献。</w:t>
      </w:r>
    </w:p>
    <w:p w:rsidR="0071339E" w:rsidRDefault="0071339E" w:rsidP="0071339E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</w:p>
    <w:p w:rsidR="009007B4" w:rsidRPr="0071339E" w:rsidRDefault="0071339E" w:rsidP="00063559">
      <w:pPr>
        <w:spacing w:line="560" w:lineRule="exact"/>
        <w:jc w:val="left"/>
        <w:rPr>
          <w:rFonts w:ascii="仿宋_GB2312" w:eastAsia="仿宋_GB2312" w:cs="黑体"/>
          <w:color w:val="000000"/>
          <w:kern w:val="0"/>
          <w:sz w:val="30"/>
          <w:szCs w:val="30"/>
        </w:rPr>
      </w:pPr>
      <w:r>
        <w:rPr>
          <w:rFonts w:ascii="楷体_GB2312" w:eastAsia="楷体_GB2312" w:cs="黑体" w:hint="eastAsia"/>
          <w:color w:val="000000"/>
          <w:kern w:val="0"/>
          <w:sz w:val="30"/>
          <w:szCs w:val="30"/>
        </w:rPr>
        <w:t xml:space="preserve">　　　　　　 （作者：苏明，上海市教育委员会）    </w:t>
      </w:r>
    </w:p>
    <w:sectPr w:rsidR="009007B4" w:rsidRPr="0071339E" w:rsidSect="00A239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67" w:rsidRDefault="00894367" w:rsidP="00D86988">
      <w:r>
        <w:separator/>
      </w:r>
    </w:p>
  </w:endnote>
  <w:endnote w:type="continuationSeparator" w:id="1">
    <w:p w:rsidR="00894367" w:rsidRDefault="00894367" w:rsidP="00D8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988" w:rsidRPr="00D86988" w:rsidRDefault="00D601A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69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988" w:rsidRPr="00D869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9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4F3" w:rsidRPr="001F24F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D869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988" w:rsidRDefault="00D869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67" w:rsidRDefault="00894367" w:rsidP="00D86988">
      <w:r>
        <w:separator/>
      </w:r>
    </w:p>
  </w:footnote>
  <w:footnote w:type="continuationSeparator" w:id="1">
    <w:p w:rsidR="00894367" w:rsidRDefault="00894367" w:rsidP="00D8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08C"/>
    <w:rsid w:val="00000DA4"/>
    <w:rsid w:val="00001218"/>
    <w:rsid w:val="00012523"/>
    <w:rsid w:val="00017F20"/>
    <w:rsid w:val="00021DF8"/>
    <w:rsid w:val="00022D89"/>
    <w:rsid w:val="00056E71"/>
    <w:rsid w:val="00063559"/>
    <w:rsid w:val="0006585E"/>
    <w:rsid w:val="000F50AC"/>
    <w:rsid w:val="001002C2"/>
    <w:rsid w:val="00102FF1"/>
    <w:rsid w:val="001E16A0"/>
    <w:rsid w:val="001F24F3"/>
    <w:rsid w:val="001F406C"/>
    <w:rsid w:val="003528F4"/>
    <w:rsid w:val="003B49CF"/>
    <w:rsid w:val="00403BC8"/>
    <w:rsid w:val="00424E96"/>
    <w:rsid w:val="00446B65"/>
    <w:rsid w:val="00477776"/>
    <w:rsid w:val="00485D5E"/>
    <w:rsid w:val="004C231C"/>
    <w:rsid w:val="004E3CB3"/>
    <w:rsid w:val="00534482"/>
    <w:rsid w:val="00550625"/>
    <w:rsid w:val="005950D8"/>
    <w:rsid w:val="00597348"/>
    <w:rsid w:val="005B21B1"/>
    <w:rsid w:val="005C53CE"/>
    <w:rsid w:val="005E25B9"/>
    <w:rsid w:val="005E2B42"/>
    <w:rsid w:val="005F7748"/>
    <w:rsid w:val="006030A0"/>
    <w:rsid w:val="006047DF"/>
    <w:rsid w:val="00642D1C"/>
    <w:rsid w:val="0066016A"/>
    <w:rsid w:val="006A1C75"/>
    <w:rsid w:val="006C6975"/>
    <w:rsid w:val="0071339E"/>
    <w:rsid w:val="00745A66"/>
    <w:rsid w:val="0078624F"/>
    <w:rsid w:val="007C313B"/>
    <w:rsid w:val="007E1142"/>
    <w:rsid w:val="008313E1"/>
    <w:rsid w:val="00844DF6"/>
    <w:rsid w:val="00894367"/>
    <w:rsid w:val="008D4AF7"/>
    <w:rsid w:val="008E7167"/>
    <w:rsid w:val="009007B4"/>
    <w:rsid w:val="0092343F"/>
    <w:rsid w:val="00937ABE"/>
    <w:rsid w:val="00982767"/>
    <w:rsid w:val="009D4EFE"/>
    <w:rsid w:val="009D6571"/>
    <w:rsid w:val="009E47A0"/>
    <w:rsid w:val="00A01A7F"/>
    <w:rsid w:val="00A2391A"/>
    <w:rsid w:val="00A7118B"/>
    <w:rsid w:val="00A73782"/>
    <w:rsid w:val="00A85D8B"/>
    <w:rsid w:val="00AB0908"/>
    <w:rsid w:val="00AD6A0B"/>
    <w:rsid w:val="00B021DE"/>
    <w:rsid w:val="00B0698E"/>
    <w:rsid w:val="00B23CFF"/>
    <w:rsid w:val="00B42D38"/>
    <w:rsid w:val="00B54840"/>
    <w:rsid w:val="00B63718"/>
    <w:rsid w:val="00B704F0"/>
    <w:rsid w:val="00BB185E"/>
    <w:rsid w:val="00BF1F3D"/>
    <w:rsid w:val="00C257CD"/>
    <w:rsid w:val="00C36791"/>
    <w:rsid w:val="00C40CA1"/>
    <w:rsid w:val="00CA542C"/>
    <w:rsid w:val="00D26DEB"/>
    <w:rsid w:val="00D601A7"/>
    <w:rsid w:val="00D831E3"/>
    <w:rsid w:val="00D86988"/>
    <w:rsid w:val="00DA0648"/>
    <w:rsid w:val="00DB5B05"/>
    <w:rsid w:val="00DE10B7"/>
    <w:rsid w:val="00E04049"/>
    <w:rsid w:val="00E26F15"/>
    <w:rsid w:val="00E410DE"/>
    <w:rsid w:val="00F73D9B"/>
    <w:rsid w:val="00FD108C"/>
    <w:rsid w:val="00F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1D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021DF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8C"/>
    <w:rPr>
      <w:b/>
      <w:bCs/>
    </w:rPr>
  </w:style>
  <w:style w:type="paragraph" w:styleId="a4">
    <w:name w:val="List Paragraph"/>
    <w:basedOn w:val="a"/>
    <w:uiPriority w:val="34"/>
    <w:qFormat/>
    <w:rsid w:val="00FD108C"/>
    <w:pPr>
      <w:ind w:firstLineChars="200" w:firstLine="420"/>
    </w:pPr>
  </w:style>
  <w:style w:type="character" w:customStyle="1" w:styleId="font2">
    <w:name w:val="font2"/>
    <w:basedOn w:val="a0"/>
    <w:rsid w:val="00056E71"/>
  </w:style>
  <w:style w:type="character" w:customStyle="1" w:styleId="font3">
    <w:name w:val="font3"/>
    <w:basedOn w:val="a0"/>
    <w:rsid w:val="00056E71"/>
  </w:style>
  <w:style w:type="character" w:customStyle="1" w:styleId="bigger">
    <w:name w:val="bigger"/>
    <w:basedOn w:val="a0"/>
    <w:rsid w:val="00056E71"/>
  </w:style>
  <w:style w:type="character" w:customStyle="1" w:styleId="medium">
    <w:name w:val="medium"/>
    <w:basedOn w:val="a0"/>
    <w:rsid w:val="00056E71"/>
  </w:style>
  <w:style w:type="character" w:customStyle="1" w:styleId="smaller">
    <w:name w:val="smaller"/>
    <w:basedOn w:val="a0"/>
    <w:rsid w:val="00056E71"/>
  </w:style>
  <w:style w:type="character" w:customStyle="1" w:styleId="gwdtitle1">
    <w:name w:val="gwdtitle1"/>
    <w:basedOn w:val="a0"/>
    <w:rsid w:val="00056E71"/>
  </w:style>
  <w:style w:type="character" w:customStyle="1" w:styleId="linknamespan1">
    <w:name w:val="linknamespan1"/>
    <w:basedOn w:val="a0"/>
    <w:rsid w:val="00056E71"/>
  </w:style>
  <w:style w:type="character" w:customStyle="1" w:styleId="gwdsmore1">
    <w:name w:val="gwds_more1"/>
    <w:basedOn w:val="a0"/>
    <w:rsid w:val="00056E71"/>
  </w:style>
  <w:style w:type="paragraph" w:styleId="a5">
    <w:name w:val="header"/>
    <w:basedOn w:val="a"/>
    <w:link w:val="Char"/>
    <w:uiPriority w:val="99"/>
    <w:semiHidden/>
    <w:unhideWhenUsed/>
    <w:rsid w:val="00D8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69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698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1D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021DF8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21DF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7">
              <w:marLeft w:val="0"/>
              <w:marRight w:val="0"/>
              <w:marTop w:val="0"/>
              <w:marBottom w:val="0"/>
              <w:divBdr>
                <w:top w:val="single" w:sz="6" w:space="31" w:color="ACADAE"/>
                <w:left w:val="single" w:sz="6" w:space="31" w:color="ACADAE"/>
                <w:bottom w:val="single" w:sz="6" w:space="15" w:color="ACADAE"/>
                <w:right w:val="single" w:sz="6" w:space="31" w:color="ACADAE"/>
              </w:divBdr>
              <w:divsChild>
                <w:div w:id="1743328995">
                  <w:marLeft w:val="0"/>
                  <w:marRight w:val="0"/>
                  <w:marTop w:val="5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14709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9933"/>
                                            <w:left w:val="single" w:sz="6" w:space="0" w:color="FF9933"/>
                                            <w:bottom w:val="single" w:sz="6" w:space="0" w:color="FF9933"/>
                                            <w:right w:val="single" w:sz="6" w:space="0" w:color="FF9933"/>
                                          </w:divBdr>
                                          <w:divsChild>
                                            <w:div w:id="161644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10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08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9" w:color="EEEBE3"/>
              </w:divBdr>
              <w:divsChild>
                <w:div w:id="345181470">
                  <w:marLeft w:val="0"/>
                  <w:marRight w:val="0"/>
                  <w:marTop w:val="281"/>
                  <w:marBottom w:val="0"/>
                  <w:divBdr>
                    <w:top w:val="single" w:sz="8" w:space="14" w:color="EEEBE3"/>
                    <w:left w:val="single" w:sz="8" w:space="14" w:color="EEEBE3"/>
                    <w:bottom w:val="single" w:sz="8" w:space="14" w:color="EEEBE3"/>
                    <w:right w:val="single" w:sz="8" w:space="14" w:color="EEEBE3"/>
                  </w:divBdr>
                </w:div>
              </w:divsChild>
            </w:div>
          </w:divsChild>
        </w:div>
      </w:divsChild>
    </w:div>
    <w:div w:id="190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6376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9933"/>
                                            <w:left w:val="single" w:sz="6" w:space="0" w:color="FF9933"/>
                                            <w:bottom w:val="single" w:sz="6" w:space="0" w:color="FF9933"/>
                                            <w:right w:val="single" w:sz="6" w:space="0" w:color="FF9933"/>
                                          </w:divBdr>
                                          <w:divsChild>
                                            <w:div w:id="139515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4595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628">
                  <w:marLeft w:val="2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528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455">
                                  <w:marLeft w:val="0"/>
                                  <w:marRight w:val="0"/>
                                  <w:marTop w:val="2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71">
                                  <w:marLeft w:val="0"/>
                                  <w:marRight w:val="374"/>
                                  <w:marTop w:val="15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9796-CD4A-4E9D-8949-C910DC3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262</Words>
  <Characters>1495</Characters>
  <Application>Microsoft Office Word</Application>
  <DocSecurity>0</DocSecurity>
  <Lines>12</Lines>
  <Paragraphs>3</Paragraphs>
  <ScaleCrop>false</ScaleCrop>
  <Company>China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崔延力</dc:creator>
  <cp:keywords/>
  <dc:description/>
  <cp:lastModifiedBy>李志博</cp:lastModifiedBy>
  <cp:revision>4</cp:revision>
  <dcterms:created xsi:type="dcterms:W3CDTF">2017-03-22T03:34:00Z</dcterms:created>
  <dcterms:modified xsi:type="dcterms:W3CDTF">2017-03-22T08:05:00Z</dcterms:modified>
</cp:coreProperties>
</file>